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5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7277"/>
        <w:gridCol w:w="2438"/>
      </w:tblGrid>
      <w:tr w:rsidR="00831E02" w:rsidRPr="0065445D" w:rsidTr="00D876CD">
        <w:trPr>
          <w:trHeight w:val="1067"/>
          <w:jc w:val="center"/>
        </w:trPr>
        <w:tc>
          <w:tcPr>
            <w:tcW w:w="3470" w:type="dxa"/>
          </w:tcPr>
          <w:p w:rsidR="00831E02" w:rsidRDefault="00831E02" w:rsidP="00E348CE">
            <w:pPr>
              <w:pStyle w:val="Cabealh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BFAA4E" wp14:editId="1BF56CFF">
                  <wp:simplePos x="0" y="0"/>
                  <wp:positionH relativeFrom="column">
                    <wp:posOffset>423235</wp:posOffset>
                  </wp:positionH>
                  <wp:positionV relativeFrom="paragraph">
                    <wp:posOffset>220980</wp:posOffset>
                  </wp:positionV>
                  <wp:extent cx="1148316" cy="1149228"/>
                  <wp:effectExtent l="0" t="0" r="0" b="0"/>
                  <wp:wrapNone/>
                  <wp:docPr id="3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16" cy="1149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Pr="00D876CD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auto"/>
                <w:sz w:val="32"/>
              </w:rPr>
            </w:pPr>
            <w:r w:rsidRPr="00D876CD">
              <w:rPr>
                <w:rFonts w:ascii="Arial Narrow" w:hAnsi="Arial Narrow"/>
                <w:b/>
                <w:noProof/>
                <w:color w:val="auto"/>
                <w:sz w:val="32"/>
              </w:rPr>
              <w:drawing>
                <wp:anchor distT="0" distB="0" distL="114300" distR="114300" simplePos="0" relativeHeight="251661312" behindDoc="0" locked="0" layoutInCell="1" allowOverlap="1" wp14:anchorId="38D4D530" wp14:editId="5803689B">
                  <wp:simplePos x="1790700" y="904875"/>
                  <wp:positionH relativeFrom="margin">
                    <wp:posOffset>1254125</wp:posOffset>
                  </wp:positionH>
                  <wp:positionV relativeFrom="margin">
                    <wp:posOffset>9525</wp:posOffset>
                  </wp:positionV>
                  <wp:extent cx="1838325" cy="50482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6CD">
              <w:rPr>
                <w:rFonts w:ascii="Arial Narrow" w:hAnsi="Arial Narrow"/>
                <w:b/>
                <w:color w:val="auto"/>
                <w:sz w:val="32"/>
              </w:rPr>
              <w:t xml:space="preserve">Agrupamento de Escolas Joaquim de Araújo, Penafiel </w:t>
            </w:r>
          </w:p>
          <w:tbl>
            <w:tblPr>
              <w:tblW w:w="4513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1544"/>
              <w:gridCol w:w="2860"/>
            </w:tblGrid>
            <w:tr w:rsidR="00831E02" w:rsidRPr="008E25E6" w:rsidTr="00E348CE">
              <w:trPr>
                <w:trHeight w:val="1006"/>
                <w:tblCellSpacing w:w="7" w:type="dxa"/>
                <w:jc w:val="center"/>
              </w:trPr>
              <w:tc>
                <w:tcPr>
                  <w:tcW w:w="1566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jc w:val="center"/>
                    <w:rPr>
                      <w:color w:val="003969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F23194B" wp14:editId="508E160E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81280</wp:posOffset>
                        </wp:positionV>
                        <wp:extent cx="4229100" cy="600075"/>
                        <wp:effectExtent l="19050" t="0" r="0" b="0"/>
                        <wp:wrapNone/>
                        <wp:docPr id="4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</w:t>
                  </w:r>
                </w:p>
              </w:tc>
              <w:tc>
                <w:tcPr>
                  <w:tcW w:w="1188" w:type="pct"/>
                  <w:shd w:val="clear" w:color="auto" w:fill="FFFFFF"/>
                  <w:vAlign w:val="center"/>
                </w:tcPr>
                <w:p w:rsidR="00831E02" w:rsidRPr="008179E8" w:rsidRDefault="00831E02" w:rsidP="00E348CE">
                  <w:pPr>
                    <w:jc w:val="center"/>
                    <w:rPr>
                      <w:color w:val="003969"/>
                    </w:rPr>
                  </w:pPr>
                </w:p>
              </w:tc>
              <w:tc>
                <w:tcPr>
                  <w:tcW w:w="2204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spacing w:before="100" w:beforeAutospacing="1" w:after="100" w:afterAutospacing="1"/>
                    <w:jc w:val="center"/>
                    <w:rPr>
                      <w:color w:val="003969"/>
                    </w:rPr>
                  </w:pPr>
                </w:p>
              </w:tc>
            </w:tr>
          </w:tbl>
          <w:p w:rsidR="00831E02" w:rsidRDefault="00831E02" w:rsidP="00E348CE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2438" w:type="dxa"/>
            <w:shd w:val="clear" w:color="auto" w:fill="CCCCCC"/>
            <w:vAlign w:val="center"/>
          </w:tcPr>
          <w:p w:rsidR="00831E02" w:rsidRPr="0065445D" w:rsidRDefault="00831E02" w:rsidP="00E348CE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 w:rsidRPr="0065445D">
              <w:rPr>
                <w:rFonts w:ascii="Impact" w:hAnsi="Impact"/>
                <w:sz w:val="16"/>
                <w:szCs w:val="16"/>
              </w:rPr>
              <w:t>Acção financiada pelo Fundo Social Europeu e Estado Português</w:t>
            </w:r>
          </w:p>
        </w:tc>
      </w:tr>
    </w:tbl>
    <w:p w:rsidR="00D876CD" w:rsidRDefault="00D876CD" w:rsidP="00D876CD">
      <w:pPr>
        <w:jc w:val="center"/>
        <w:rPr>
          <w:rFonts w:ascii="Arial Narrow" w:hAnsi="Arial Narrow"/>
          <w:b/>
          <w:sz w:val="28"/>
        </w:rPr>
      </w:pPr>
    </w:p>
    <w:p w:rsidR="00825735" w:rsidRPr="004D0E9C" w:rsidRDefault="00D876CD" w:rsidP="00D876CD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Matriz da Prova de recuperação de </w:t>
      </w:r>
      <w:r w:rsidR="00A83449">
        <w:rPr>
          <w:rFonts w:ascii="Arial Narrow" w:hAnsi="Arial Narrow"/>
          <w:b/>
          <w:sz w:val="28"/>
        </w:rPr>
        <w:t>Desenho T</w:t>
      </w:r>
      <w:r w:rsidR="00FA77D4">
        <w:rPr>
          <w:rFonts w:ascii="Arial Narrow" w:hAnsi="Arial Narrow"/>
          <w:b/>
          <w:sz w:val="28"/>
        </w:rPr>
        <w:t>écnico</w:t>
      </w:r>
      <w:r>
        <w:rPr>
          <w:rFonts w:ascii="Arial Narrow" w:hAnsi="Arial Narrow"/>
          <w:b/>
          <w:sz w:val="28"/>
        </w:rPr>
        <w:t xml:space="preserve"> – </w:t>
      </w:r>
      <w:r w:rsidRPr="004D0E9C">
        <w:rPr>
          <w:rFonts w:ascii="Arial Narrow" w:hAnsi="Arial Narrow"/>
          <w:sz w:val="28"/>
        </w:rPr>
        <w:t xml:space="preserve">Módulo </w:t>
      </w:r>
      <w:r w:rsidR="00A83449">
        <w:rPr>
          <w:rFonts w:ascii="Arial Narrow" w:hAnsi="Arial Narrow"/>
          <w:sz w:val="28"/>
        </w:rPr>
        <w:t>2</w:t>
      </w:r>
      <w:r w:rsidR="004D0E9C" w:rsidRPr="004D0E9C">
        <w:rPr>
          <w:rFonts w:ascii="Arial Narrow" w:hAnsi="Arial Narrow"/>
          <w:sz w:val="28"/>
        </w:rPr>
        <w:t xml:space="preserve"> – </w:t>
      </w:r>
      <w:r w:rsidR="00A83449">
        <w:rPr>
          <w:rFonts w:ascii="Arial Narrow" w:hAnsi="Arial Narrow"/>
          <w:sz w:val="28"/>
        </w:rPr>
        <w:t>Complementos de Desenho</w:t>
      </w:r>
    </w:p>
    <w:p w:rsidR="00F642A4" w:rsidRDefault="004D0E9C" w:rsidP="004D0E9C">
      <w:pPr>
        <w:tabs>
          <w:tab w:val="left" w:pos="1020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6"/>
        <w:gridCol w:w="7204"/>
        <w:gridCol w:w="1984"/>
        <w:gridCol w:w="1420"/>
      </w:tblGrid>
      <w:tr w:rsidR="00D876CD" w:rsidRPr="00D876CD" w:rsidTr="004D0E9C">
        <w:tc>
          <w:tcPr>
            <w:tcW w:w="353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Objetivos</w:t>
            </w:r>
          </w:p>
        </w:tc>
        <w:tc>
          <w:tcPr>
            <w:tcW w:w="7204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Conteúdos</w:t>
            </w:r>
          </w:p>
        </w:tc>
        <w:tc>
          <w:tcPr>
            <w:tcW w:w="1984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Estrutura</w:t>
            </w:r>
          </w:p>
        </w:tc>
        <w:tc>
          <w:tcPr>
            <w:tcW w:w="1420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Duração</w:t>
            </w:r>
          </w:p>
        </w:tc>
      </w:tr>
      <w:tr w:rsidR="00D876CD" w:rsidTr="004D0E9C">
        <w:trPr>
          <w:trHeight w:val="1621"/>
        </w:trPr>
        <w:tc>
          <w:tcPr>
            <w:tcW w:w="3536" w:type="dxa"/>
          </w:tcPr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Compreender o Desenho Técnico como linguagem normalizada de representação e comunicação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Diferenciar os vários tipos de Desenho Técnico.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Reconhecer as vantagens da normalização no Desenho Técnico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Conhecer as principais normas de Desenho Técnico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Conhecer os meios necessários à representação gráfica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Conhecer e aplicar os principais tipos, fases, meios e técnicas de realização de um Desenho de Construções Mecânicas.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Conhecer e interpretar as normas e as recomendações técnicas específicas aplicáveis à execução de desenhos técnicos.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 xml:space="preserve">Conhecer e aplicar os </w:t>
            </w:r>
            <w:r w:rsidRPr="00FA77D4">
              <w:rPr>
                <w:rFonts w:ascii="Garamond" w:hAnsi="Garamond"/>
                <w:sz w:val="22"/>
              </w:rPr>
              <w:lastRenderedPageBreak/>
              <w:t>diferentes métodos construtivos dos elementos geométricos fundamentais.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Conhecer conceitos, princípios, métodos e procedimentos da dupla representação ortogonal.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Definir e utilizar corretamente os meios e os materiais necessários à execução de um desenho.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Definir corretamente o posicionamento das cotas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Colocar corretamente um conjunto de cotas para que a peça fique perfeitamente definida.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Identificar as diversas situações em que se realizam os cortes.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Realizar cortes.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Selecionar as projeções adequadas à representação de uma peça, em conformidade com a finalidade do desenho.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Executar desenhos em projeções ortogonais e perspetivas, representando-os em esboço ou em rigoroso.</w:t>
            </w:r>
          </w:p>
          <w:p w:rsidR="00FA77D4" w:rsidRPr="00FA77D4" w:rsidRDefault="00FA77D4" w:rsidP="00FA77D4">
            <w:pPr>
              <w:jc w:val="both"/>
              <w:rPr>
                <w:rFonts w:ascii="Garamond" w:hAnsi="Garamond"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>Realizar cotagem dimensional, nominal e funcional, adequada ao dimensionamento, interpretação da funcionalidade ou execução de peças e conjuntos.</w:t>
            </w:r>
          </w:p>
          <w:p w:rsidR="00D876CD" w:rsidRPr="00E8716D" w:rsidRDefault="00FA77D4" w:rsidP="00FA77D4">
            <w:pPr>
              <w:jc w:val="both"/>
              <w:rPr>
                <w:rFonts w:ascii="Garamond" w:hAnsi="Garamond"/>
                <w:b/>
                <w:sz w:val="22"/>
              </w:rPr>
            </w:pPr>
            <w:r w:rsidRPr="00FA77D4">
              <w:rPr>
                <w:rFonts w:ascii="Garamond" w:hAnsi="Garamond"/>
                <w:sz w:val="22"/>
              </w:rPr>
              <w:t>•</w:t>
            </w:r>
            <w:r w:rsidRPr="00FA77D4">
              <w:rPr>
                <w:rFonts w:ascii="Garamond" w:hAnsi="Garamond"/>
                <w:sz w:val="22"/>
              </w:rPr>
              <w:tab/>
              <w:t xml:space="preserve"> Executar desenhos de conjunto simples.</w:t>
            </w:r>
          </w:p>
        </w:tc>
        <w:tc>
          <w:tcPr>
            <w:tcW w:w="7204" w:type="dxa"/>
          </w:tcPr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lastRenderedPageBreak/>
              <w:t>Perspetivas:</w:t>
            </w:r>
          </w:p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•</w:t>
            </w:r>
            <w:r w:rsidRPr="00FA77D4">
              <w:rPr>
                <w:rFonts w:ascii="Garamond" w:hAnsi="Garamond"/>
                <w:sz w:val="22"/>
                <w:szCs w:val="22"/>
              </w:rPr>
              <w:tab/>
              <w:t>Conceito de perspetiva.</w:t>
            </w:r>
          </w:p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•</w:t>
            </w:r>
            <w:r w:rsidRPr="00FA77D4">
              <w:rPr>
                <w:rFonts w:ascii="Garamond" w:hAnsi="Garamond"/>
                <w:sz w:val="22"/>
                <w:szCs w:val="22"/>
              </w:rPr>
              <w:tab/>
              <w:t>Perspetiva Isométrica.</w:t>
            </w:r>
          </w:p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Cortes em peças:</w:t>
            </w:r>
          </w:p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•</w:t>
            </w:r>
            <w:r w:rsidRPr="00FA77D4">
              <w:rPr>
                <w:rFonts w:ascii="Garamond" w:hAnsi="Garamond"/>
                <w:sz w:val="22"/>
                <w:szCs w:val="22"/>
              </w:rPr>
              <w:tab/>
              <w:t>Utilidade dos cortes.</w:t>
            </w:r>
          </w:p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•</w:t>
            </w:r>
            <w:r w:rsidRPr="00FA77D4">
              <w:rPr>
                <w:rFonts w:ascii="Garamond" w:hAnsi="Garamond"/>
                <w:sz w:val="22"/>
                <w:szCs w:val="22"/>
              </w:rPr>
              <w:tab/>
              <w:t>Tipos de cortes e respetivas representações.</w:t>
            </w:r>
          </w:p>
          <w:p w:rsidR="00FA77D4" w:rsidRPr="00FA77D4" w:rsidRDefault="00FA77D4" w:rsidP="00FA77D4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•</w:t>
            </w:r>
            <w:r w:rsidRPr="00FA77D4">
              <w:rPr>
                <w:rFonts w:ascii="Garamond" w:hAnsi="Garamond"/>
                <w:sz w:val="22"/>
                <w:szCs w:val="22"/>
              </w:rPr>
              <w:tab/>
              <w:t>Cortes locais.</w:t>
            </w:r>
          </w:p>
          <w:p w:rsidR="00D876CD" w:rsidRPr="0055789C" w:rsidRDefault="00FA77D4" w:rsidP="00FA77D4">
            <w:pPr>
              <w:rPr>
                <w:rFonts w:ascii="Garamond" w:hAnsi="Garamond"/>
                <w:b/>
                <w:sz w:val="28"/>
              </w:rPr>
            </w:pPr>
            <w:r w:rsidRPr="00FA77D4">
              <w:rPr>
                <w:rFonts w:ascii="Garamond" w:hAnsi="Garamond"/>
                <w:sz w:val="22"/>
                <w:szCs w:val="22"/>
              </w:rPr>
              <w:t>•</w:t>
            </w:r>
            <w:r w:rsidRPr="00FA77D4">
              <w:rPr>
                <w:rFonts w:ascii="Garamond" w:hAnsi="Garamond"/>
                <w:sz w:val="22"/>
                <w:szCs w:val="22"/>
              </w:rPr>
              <w:tab/>
              <w:t>Desenho de conjunto.</w:t>
            </w:r>
          </w:p>
        </w:tc>
        <w:tc>
          <w:tcPr>
            <w:tcW w:w="1984" w:type="dxa"/>
          </w:tcPr>
          <w:p w:rsidR="00D876CD" w:rsidRPr="00D876CD" w:rsidRDefault="00D876CD" w:rsidP="00A83449">
            <w:pPr>
              <w:jc w:val="center"/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6"/>
              </w:rPr>
              <w:t xml:space="preserve">Prova </w:t>
            </w:r>
            <w:r w:rsidR="00A83449">
              <w:rPr>
                <w:rFonts w:ascii="Garamond" w:hAnsi="Garamond"/>
                <w:b/>
                <w:sz w:val="36"/>
              </w:rPr>
              <w:t>prática</w:t>
            </w:r>
          </w:p>
        </w:tc>
        <w:tc>
          <w:tcPr>
            <w:tcW w:w="1420" w:type="dxa"/>
          </w:tcPr>
          <w:p w:rsidR="00D876CD" w:rsidRPr="00D876CD" w:rsidRDefault="00D876CD" w:rsidP="004D0E9C">
            <w:pPr>
              <w:jc w:val="center"/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2"/>
              </w:rPr>
              <w:t xml:space="preserve">60 </w:t>
            </w:r>
            <w:proofErr w:type="gramStart"/>
            <w:r w:rsidRPr="00D876CD">
              <w:rPr>
                <w:rFonts w:ascii="Garamond" w:hAnsi="Garamond"/>
                <w:b/>
                <w:sz w:val="32"/>
              </w:rPr>
              <w:t>minutos</w:t>
            </w:r>
            <w:proofErr w:type="gramEnd"/>
          </w:p>
        </w:tc>
      </w:tr>
    </w:tbl>
    <w:p w:rsidR="00D876CD" w:rsidRDefault="00D876CD" w:rsidP="004D0E9C">
      <w:pPr>
        <w:spacing w:line="276" w:lineRule="auto"/>
        <w:rPr>
          <w:rFonts w:ascii="Garamond" w:hAnsi="Garamond"/>
        </w:rPr>
      </w:pPr>
      <w:r w:rsidRPr="00D876CD">
        <w:rPr>
          <w:rFonts w:ascii="Garamond" w:hAnsi="Garamond"/>
        </w:rPr>
        <w:lastRenderedPageBreak/>
        <w:t>O professor</w:t>
      </w:r>
    </w:p>
    <w:p w:rsidR="0055789C" w:rsidRDefault="0055789C" w:rsidP="004D0E9C">
      <w:pPr>
        <w:spacing w:line="276" w:lineRule="auto"/>
        <w:rPr>
          <w:rFonts w:ascii="Garamond" w:hAnsi="Garamond"/>
        </w:rPr>
      </w:pPr>
    </w:p>
    <w:p w:rsidR="00D876CD" w:rsidRPr="00D876CD" w:rsidRDefault="00D876CD" w:rsidP="004D0E9C">
      <w:pPr>
        <w:spacing w:line="276" w:lineRule="auto"/>
        <w:rPr>
          <w:rFonts w:ascii="Garamond" w:hAnsi="Garamond"/>
        </w:rPr>
      </w:pPr>
      <w:r w:rsidRPr="00D876CD">
        <w:rPr>
          <w:rFonts w:ascii="Garamond" w:hAnsi="Garamond"/>
        </w:rPr>
        <w:t>Rui Loureiro</w:t>
      </w:r>
    </w:p>
    <w:sectPr w:rsidR="00D876CD" w:rsidRPr="00D876CD" w:rsidSect="004D0E9C">
      <w:headerReference w:type="default" r:id="rId11"/>
      <w:footerReference w:type="default" r:id="rId12"/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45" w:rsidRDefault="00637F45">
      <w:r>
        <w:separator/>
      </w:r>
    </w:p>
  </w:endnote>
  <w:endnote w:type="continuationSeparator" w:id="0">
    <w:p w:rsidR="00637F45" w:rsidRDefault="0063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8" w:rsidRPr="007F506C" w:rsidRDefault="00E561D8" w:rsidP="002E3281">
    <w:pPr>
      <w:pStyle w:val="Rodap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F95858">
      <w:rPr>
        <w:rStyle w:val="Nmerodepgina"/>
        <w:rFonts w:ascii="Arial Narrow" w:hAnsi="Arial Narrow"/>
        <w:noProof/>
        <w:sz w:val="18"/>
        <w:szCs w:val="18"/>
      </w:rPr>
      <w:t>1</w:t>
    </w:r>
    <w:r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FA77D4">
      <w:rPr>
        <w:rStyle w:val="Nmerodepgina"/>
        <w:rFonts w:ascii="Arial Narrow" w:hAnsi="Arial Narrow"/>
        <w:sz w:val="18"/>
        <w:szCs w:val="18"/>
      </w:rPr>
      <w:t>2</w:t>
    </w:r>
  </w:p>
  <w:p w:rsidR="00BC5F1A" w:rsidRPr="00E561D8" w:rsidRDefault="00BC5F1A" w:rsidP="00E56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45" w:rsidRDefault="00637F45">
      <w:r>
        <w:separator/>
      </w:r>
    </w:p>
  </w:footnote>
  <w:footnote w:type="continuationSeparator" w:id="0">
    <w:p w:rsidR="00637F45" w:rsidRDefault="0063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35" w:rsidRPr="00994F10" w:rsidRDefault="00825735" w:rsidP="00CF6E87">
    <w:pPr>
      <w:rPr>
        <w:b/>
        <w:smallCaps/>
        <w:color w:val="99CC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25735" w:rsidRPr="006C414B" w:rsidRDefault="00825735" w:rsidP="00825735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3B2"/>
    <w:multiLevelType w:val="hybridMultilevel"/>
    <w:tmpl w:val="DDD6E7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6051DC"/>
    <w:multiLevelType w:val="hybridMultilevel"/>
    <w:tmpl w:val="3A7AA6CE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tabs>
          <w:tab w:val="num" w:pos="1250"/>
        </w:tabs>
        <w:ind w:left="1250" w:hanging="170"/>
      </w:pPr>
      <w:rPr>
        <w:rFonts w:hint="default"/>
        <w:b/>
        <w:color w:val="00000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50192"/>
    <w:multiLevelType w:val="hybridMultilevel"/>
    <w:tmpl w:val="D4BCCE14"/>
    <w:lvl w:ilvl="0" w:tplc="7A8606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u w:color="000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06CA0"/>
    <w:multiLevelType w:val="hybridMultilevel"/>
    <w:tmpl w:val="26283500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9445B"/>
    <w:multiLevelType w:val="hybridMultilevel"/>
    <w:tmpl w:val="3F3A1C36"/>
    <w:lvl w:ilvl="0" w:tplc="D234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E"/>
    <w:rsid w:val="000604F2"/>
    <w:rsid w:val="000718CA"/>
    <w:rsid w:val="000723C7"/>
    <w:rsid w:val="000A43C1"/>
    <w:rsid w:val="000E1E12"/>
    <w:rsid w:val="000E5A2C"/>
    <w:rsid w:val="001B3021"/>
    <w:rsid w:val="001E57CD"/>
    <w:rsid w:val="00297043"/>
    <w:rsid w:val="002D2B61"/>
    <w:rsid w:val="002E3281"/>
    <w:rsid w:val="00320CB6"/>
    <w:rsid w:val="0037117F"/>
    <w:rsid w:val="0037184E"/>
    <w:rsid w:val="003750FD"/>
    <w:rsid w:val="0039699C"/>
    <w:rsid w:val="003A7CA7"/>
    <w:rsid w:val="003C3962"/>
    <w:rsid w:val="003E644C"/>
    <w:rsid w:val="00463E60"/>
    <w:rsid w:val="004A2E6F"/>
    <w:rsid w:val="004D0E9C"/>
    <w:rsid w:val="004E473C"/>
    <w:rsid w:val="004E5996"/>
    <w:rsid w:val="004F0EDB"/>
    <w:rsid w:val="0055789C"/>
    <w:rsid w:val="00560803"/>
    <w:rsid w:val="005830FF"/>
    <w:rsid w:val="005B639E"/>
    <w:rsid w:val="005C5251"/>
    <w:rsid w:val="005D0FDF"/>
    <w:rsid w:val="00635804"/>
    <w:rsid w:val="00637F45"/>
    <w:rsid w:val="006E16B1"/>
    <w:rsid w:val="006F40D3"/>
    <w:rsid w:val="0074620E"/>
    <w:rsid w:val="007B29D0"/>
    <w:rsid w:val="00823747"/>
    <w:rsid w:val="00825735"/>
    <w:rsid w:val="00831E02"/>
    <w:rsid w:val="00870D19"/>
    <w:rsid w:val="00886EDE"/>
    <w:rsid w:val="008B420E"/>
    <w:rsid w:val="008D45C9"/>
    <w:rsid w:val="009006D9"/>
    <w:rsid w:val="00923B6C"/>
    <w:rsid w:val="00973B9D"/>
    <w:rsid w:val="00994F10"/>
    <w:rsid w:val="009E6BFA"/>
    <w:rsid w:val="00A70313"/>
    <w:rsid w:val="00A76B96"/>
    <w:rsid w:val="00A80844"/>
    <w:rsid w:val="00A83449"/>
    <w:rsid w:val="00AA3FE4"/>
    <w:rsid w:val="00AB2B33"/>
    <w:rsid w:val="00AD3EB0"/>
    <w:rsid w:val="00B34569"/>
    <w:rsid w:val="00B35112"/>
    <w:rsid w:val="00B36F0F"/>
    <w:rsid w:val="00B60698"/>
    <w:rsid w:val="00B67524"/>
    <w:rsid w:val="00B87F9F"/>
    <w:rsid w:val="00BC5F1A"/>
    <w:rsid w:val="00C02E0C"/>
    <w:rsid w:val="00C14BFF"/>
    <w:rsid w:val="00C150AD"/>
    <w:rsid w:val="00C360DA"/>
    <w:rsid w:val="00C53CB2"/>
    <w:rsid w:val="00CA303E"/>
    <w:rsid w:val="00CD6CF8"/>
    <w:rsid w:val="00CF6E87"/>
    <w:rsid w:val="00CF7ED5"/>
    <w:rsid w:val="00D33C03"/>
    <w:rsid w:val="00D4613E"/>
    <w:rsid w:val="00D843BC"/>
    <w:rsid w:val="00D876CD"/>
    <w:rsid w:val="00DC21FA"/>
    <w:rsid w:val="00DC2A8B"/>
    <w:rsid w:val="00E17D89"/>
    <w:rsid w:val="00E561D8"/>
    <w:rsid w:val="00E8716D"/>
    <w:rsid w:val="00E932D6"/>
    <w:rsid w:val="00F6003C"/>
    <w:rsid w:val="00F642A4"/>
    <w:rsid w:val="00F720CF"/>
    <w:rsid w:val="00F95858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paulo</cp:lastModifiedBy>
  <cp:revision>2</cp:revision>
  <cp:lastPrinted>2009-10-13T01:15:00Z</cp:lastPrinted>
  <dcterms:created xsi:type="dcterms:W3CDTF">2016-09-06T10:24:00Z</dcterms:created>
  <dcterms:modified xsi:type="dcterms:W3CDTF">2016-09-06T10:24:00Z</dcterms:modified>
</cp:coreProperties>
</file>